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2894" w14:textId="77777777" w:rsidR="00C173D1" w:rsidRPr="00C173D1" w:rsidRDefault="00C173D1" w:rsidP="00C173D1">
      <w:pPr>
        <w:shd w:val="clear" w:color="auto" w:fill="FBFAFA"/>
        <w:spacing w:after="300" w:line="240" w:lineRule="auto"/>
        <w:outlineLvl w:val="0"/>
        <w:rPr>
          <w:rFonts w:ascii="Arial" w:eastAsia="Times New Roman" w:hAnsi="Arial" w:cs="Arial"/>
          <w:b/>
          <w:bCs/>
          <w:color w:val="313336"/>
          <w:kern w:val="36"/>
          <w:sz w:val="64"/>
          <w:szCs w:val="64"/>
          <w:lang w:eastAsia="fr-FR"/>
        </w:rPr>
      </w:pPr>
      <w:r w:rsidRPr="00C173D1">
        <w:rPr>
          <w:rFonts w:ascii="Arial" w:eastAsia="Times New Roman" w:hAnsi="Arial" w:cs="Arial"/>
          <w:b/>
          <w:bCs/>
          <w:color w:val="313336"/>
          <w:kern w:val="36"/>
          <w:sz w:val="64"/>
          <w:szCs w:val="64"/>
          <w:lang w:eastAsia="fr-FR"/>
        </w:rPr>
        <w:t>Comment choisir un parrain ou une marraine de confirmation ?</w:t>
      </w:r>
    </w:p>
    <w:p w14:paraId="0D98595C" w14:textId="77777777" w:rsidR="00C173D1" w:rsidRDefault="00C173D1" w:rsidP="00C173D1">
      <w:pPr>
        <w:shd w:val="clear" w:color="auto" w:fill="FBFAFA"/>
        <w:spacing w:after="0" w:line="300" w:lineRule="atLeast"/>
        <w:textAlignment w:val="top"/>
        <w:rPr>
          <w:rFonts w:ascii="Arial" w:eastAsia="Times New Roman" w:hAnsi="Arial" w:cs="Arial"/>
          <w:color w:val="313336"/>
          <w:sz w:val="18"/>
          <w:szCs w:val="18"/>
          <w:lang w:eastAsia="fr-FR"/>
        </w:rPr>
      </w:pPr>
      <w:r>
        <w:rPr>
          <w:rFonts w:ascii="Arial" w:eastAsia="Times New Roman" w:hAnsi="Arial" w:cs="Arial"/>
          <w:color w:val="313336"/>
          <w:sz w:val="18"/>
          <w:szCs w:val="18"/>
          <w:lang w:eastAsia="fr-FR"/>
        </w:rPr>
        <w:t>Source : Conférence des Evêques de France</w:t>
      </w:r>
    </w:p>
    <w:p w14:paraId="28A8DC9D" w14:textId="77777777" w:rsidR="00C173D1" w:rsidRPr="00C173D1" w:rsidRDefault="00C173D1" w:rsidP="00C173D1">
      <w:pPr>
        <w:shd w:val="clear" w:color="auto" w:fill="FBFAFA"/>
        <w:spacing w:after="0" w:line="300" w:lineRule="atLeast"/>
        <w:textAlignment w:val="top"/>
        <w:rPr>
          <w:rFonts w:ascii="Arial" w:eastAsia="Times New Roman" w:hAnsi="Arial" w:cs="Arial"/>
          <w:color w:val="313336"/>
          <w:sz w:val="18"/>
          <w:szCs w:val="18"/>
          <w:lang w:eastAsia="fr-FR"/>
        </w:rPr>
      </w:pPr>
      <w:r w:rsidRPr="00C173D1">
        <w:rPr>
          <w:rFonts w:ascii="Arial" w:eastAsia="Times New Roman" w:hAnsi="Arial" w:cs="Arial"/>
          <w:color w:val="313336"/>
          <w:sz w:val="18"/>
          <w:szCs w:val="18"/>
          <w:lang w:eastAsia="fr-FR"/>
        </w:rPr>
        <w:t>Publié le 31 août 2016</w:t>
      </w:r>
    </w:p>
    <w:p w14:paraId="712443BB" w14:textId="77777777" w:rsidR="00C173D1" w:rsidRPr="00C173D1" w:rsidRDefault="00C173D1" w:rsidP="00C173D1">
      <w:pPr>
        <w:shd w:val="clear" w:color="auto" w:fill="FBFAFA"/>
        <w:spacing w:after="0" w:line="300" w:lineRule="atLeast"/>
        <w:rPr>
          <w:rFonts w:ascii="Arial" w:eastAsia="Times New Roman" w:hAnsi="Arial" w:cs="Arial"/>
          <w:color w:val="313336"/>
          <w:sz w:val="19"/>
          <w:szCs w:val="19"/>
          <w:lang w:eastAsia="fr-FR"/>
        </w:rPr>
      </w:pPr>
      <w:r w:rsidRPr="00C173D1">
        <w:rPr>
          <w:rFonts w:ascii="Arial" w:eastAsia="Times New Roman" w:hAnsi="Arial" w:cs="Arial"/>
          <w:color w:val="313336"/>
          <w:sz w:val="19"/>
          <w:szCs w:val="19"/>
          <w:lang w:eastAsia="fr-FR"/>
        </w:rPr>
        <w:t> </w:t>
      </w:r>
    </w:p>
    <w:p w14:paraId="17474ED4" w14:textId="77777777" w:rsidR="00C173D1" w:rsidRPr="00C173D1" w:rsidRDefault="00C173D1" w:rsidP="00C173D1">
      <w:pPr>
        <w:shd w:val="clear" w:color="auto" w:fill="FBFAFA"/>
        <w:spacing w:after="0" w:line="300" w:lineRule="atLeast"/>
        <w:rPr>
          <w:rFonts w:ascii="Arial" w:eastAsia="Times New Roman" w:hAnsi="Arial" w:cs="Arial"/>
          <w:color w:val="313336"/>
          <w:sz w:val="19"/>
          <w:szCs w:val="19"/>
          <w:lang w:eastAsia="fr-FR"/>
        </w:rPr>
      </w:pPr>
      <w:r w:rsidRPr="00C173D1">
        <w:rPr>
          <w:rFonts w:ascii="Times" w:eastAsia="Times New Roman" w:hAnsi="Times" w:cs="Times"/>
          <w:color w:val="313336"/>
          <w:sz w:val="27"/>
          <w:szCs w:val="27"/>
          <w:bdr w:val="none" w:sz="0" w:space="0" w:color="auto" w:frame="1"/>
          <w:lang w:eastAsia="fr-FR"/>
        </w:rPr>
        <w:t>Le rôle du parrain ou de la marraine</w:t>
      </w:r>
    </w:p>
    <w:p w14:paraId="25A7D217" w14:textId="77777777" w:rsidR="00C173D1" w:rsidRPr="00C173D1" w:rsidRDefault="00C173D1" w:rsidP="00C173D1">
      <w:pPr>
        <w:shd w:val="clear" w:color="auto" w:fill="FBFAFA"/>
        <w:spacing w:after="0" w:line="240" w:lineRule="auto"/>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Comme pour le </w:t>
      </w:r>
      <w:hyperlink r:id="rId5" w:tooltip="Signe visible de la présence et de l'action de Dieu." w:history="1">
        <w:r w:rsidRPr="00C173D1">
          <w:rPr>
            <w:rFonts w:ascii="Arial" w:eastAsia="Times New Roman" w:hAnsi="Arial" w:cs="Arial"/>
            <w:color w:val="3970BC"/>
            <w:sz w:val="23"/>
            <w:szCs w:val="23"/>
            <w:u w:val="single"/>
            <w:bdr w:val="none" w:sz="0" w:space="0" w:color="auto" w:frame="1"/>
            <w:lang w:eastAsia="fr-FR"/>
          </w:rPr>
          <w:t>sacrement</w:t>
        </w:r>
      </w:hyperlink>
      <w:r w:rsidRPr="00C173D1">
        <w:rPr>
          <w:rFonts w:ascii="Arial" w:eastAsia="Times New Roman" w:hAnsi="Arial" w:cs="Arial"/>
          <w:color w:val="313336"/>
          <w:sz w:val="23"/>
          <w:szCs w:val="23"/>
          <w:bdr w:val="none" w:sz="0" w:space="0" w:color="auto" w:frame="1"/>
          <w:lang w:eastAsia="fr-FR"/>
        </w:rPr>
        <w:t> du </w:t>
      </w:r>
      <w:hyperlink r:id="rId6" w:tooltip="Fait entrer le nouveau baptisé dans la communauté de l'Église." w:history="1">
        <w:r w:rsidRPr="00C173D1">
          <w:rPr>
            <w:rFonts w:ascii="Arial" w:eastAsia="Times New Roman" w:hAnsi="Arial" w:cs="Arial"/>
            <w:color w:val="3970BC"/>
            <w:sz w:val="23"/>
            <w:szCs w:val="23"/>
            <w:u w:val="single"/>
            <w:bdr w:val="none" w:sz="0" w:space="0" w:color="auto" w:frame="1"/>
            <w:lang w:eastAsia="fr-FR"/>
          </w:rPr>
          <w:t>baptême</w:t>
        </w:r>
      </w:hyperlink>
      <w:r w:rsidRPr="00C173D1">
        <w:rPr>
          <w:rFonts w:ascii="Arial" w:eastAsia="Times New Roman" w:hAnsi="Arial" w:cs="Arial"/>
          <w:color w:val="313336"/>
          <w:sz w:val="23"/>
          <w:szCs w:val="23"/>
          <w:bdr w:val="none" w:sz="0" w:space="0" w:color="auto" w:frame="1"/>
          <w:lang w:eastAsia="fr-FR"/>
        </w:rPr>
        <w:t>, un parrain ou une marraine accompagne dans la mesure du possible celui qui reçoit le </w:t>
      </w:r>
      <w:hyperlink r:id="rId7" w:tooltip="Signe visible de la présence et de l'action de Dieu." w:history="1">
        <w:r w:rsidRPr="00C173D1">
          <w:rPr>
            <w:rFonts w:ascii="Arial" w:eastAsia="Times New Roman" w:hAnsi="Arial" w:cs="Arial"/>
            <w:color w:val="3970BC"/>
            <w:sz w:val="23"/>
            <w:szCs w:val="23"/>
            <w:u w:val="single"/>
            <w:bdr w:val="none" w:sz="0" w:space="0" w:color="auto" w:frame="1"/>
            <w:lang w:eastAsia="fr-FR"/>
          </w:rPr>
          <w:t>sacrement</w:t>
        </w:r>
      </w:hyperlink>
      <w:r w:rsidRPr="00C173D1">
        <w:rPr>
          <w:rFonts w:ascii="Arial" w:eastAsia="Times New Roman" w:hAnsi="Arial" w:cs="Arial"/>
          <w:color w:val="313336"/>
          <w:sz w:val="23"/>
          <w:szCs w:val="23"/>
          <w:bdr w:val="none" w:sz="0" w:space="0" w:color="auto" w:frame="1"/>
          <w:lang w:eastAsia="fr-FR"/>
        </w:rPr>
        <w:t> de la </w:t>
      </w:r>
      <w:hyperlink r:id="rId8"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Avoir un parrain ou une marraine a trois objectifs :</w:t>
      </w:r>
    </w:p>
    <w:p w14:paraId="3233833D" w14:textId="77777777" w:rsidR="00C173D1" w:rsidRPr="00C173D1" w:rsidRDefault="00C173D1" w:rsidP="00C173D1">
      <w:pPr>
        <w:numPr>
          <w:ilvl w:val="0"/>
          <w:numId w:val="1"/>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aider et soutenir, par sa présence active, celui qui se prépare à recevoir le </w:t>
      </w:r>
      <w:hyperlink r:id="rId9" w:tooltip="Signe visible de la présence et de l'action de Dieu." w:history="1">
        <w:r w:rsidRPr="00C173D1">
          <w:rPr>
            <w:rFonts w:ascii="Arial" w:eastAsia="Times New Roman" w:hAnsi="Arial" w:cs="Arial"/>
            <w:color w:val="3970BC"/>
            <w:sz w:val="23"/>
            <w:szCs w:val="23"/>
            <w:u w:val="single"/>
            <w:bdr w:val="none" w:sz="0" w:space="0" w:color="auto" w:frame="1"/>
            <w:lang w:eastAsia="fr-FR"/>
          </w:rPr>
          <w:t>sacrement</w:t>
        </w:r>
      </w:hyperlink>
      <w:r w:rsidRPr="00C173D1">
        <w:rPr>
          <w:rFonts w:ascii="Arial" w:eastAsia="Times New Roman" w:hAnsi="Arial" w:cs="Arial"/>
          <w:color w:val="313336"/>
          <w:sz w:val="23"/>
          <w:szCs w:val="23"/>
          <w:bdr w:val="none" w:sz="0" w:space="0" w:color="auto" w:frame="1"/>
          <w:lang w:eastAsia="fr-FR"/>
        </w:rPr>
        <w:t> de la </w:t>
      </w:r>
      <w:hyperlink r:id="rId10"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w:t>
      </w:r>
    </w:p>
    <w:p w14:paraId="7D3E8E8D" w14:textId="77777777" w:rsidR="00C173D1" w:rsidRPr="00C173D1" w:rsidRDefault="00C173D1" w:rsidP="00C173D1">
      <w:pPr>
        <w:numPr>
          <w:ilvl w:val="0"/>
          <w:numId w:val="1"/>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présenter le confirmand (celui qui va être confirmé) à l’évêque ou son délégué pendant la célébration ;</w:t>
      </w:r>
    </w:p>
    <w:p w14:paraId="63EFBDCB" w14:textId="77777777" w:rsidR="00C173D1" w:rsidRPr="00C173D1" w:rsidRDefault="00C173D1" w:rsidP="00C173D1">
      <w:pPr>
        <w:numPr>
          <w:ilvl w:val="0"/>
          <w:numId w:val="1"/>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aider le confirmé à vivre du don qu’il aura reçu. Il vaut donc mieux choisir ce parrain ou cette marraine vers le début de la préparation.</w:t>
      </w:r>
    </w:p>
    <w:p w14:paraId="7F50F746" w14:textId="77777777" w:rsidR="002F627C" w:rsidRDefault="002F627C" w:rsidP="00C173D1">
      <w:pPr>
        <w:shd w:val="clear" w:color="auto" w:fill="FBFAFA"/>
        <w:spacing w:after="0" w:line="240" w:lineRule="auto"/>
        <w:jc w:val="both"/>
        <w:outlineLvl w:val="3"/>
        <w:rPr>
          <w:rFonts w:ascii="Times" w:eastAsia="Times New Roman" w:hAnsi="Times" w:cs="Times"/>
          <w:color w:val="313336"/>
          <w:sz w:val="27"/>
          <w:szCs w:val="27"/>
          <w:bdr w:val="none" w:sz="0" w:space="0" w:color="auto" w:frame="1"/>
          <w:lang w:eastAsia="fr-FR"/>
        </w:rPr>
      </w:pPr>
    </w:p>
    <w:p w14:paraId="602B3329" w14:textId="77777777" w:rsidR="00C173D1" w:rsidRPr="00C173D1" w:rsidRDefault="00C173D1" w:rsidP="00C173D1">
      <w:pPr>
        <w:shd w:val="clear" w:color="auto" w:fill="FBFAFA"/>
        <w:spacing w:after="0" w:line="240" w:lineRule="auto"/>
        <w:jc w:val="both"/>
        <w:outlineLvl w:val="3"/>
        <w:rPr>
          <w:rFonts w:ascii="Times" w:eastAsia="Times New Roman" w:hAnsi="Times" w:cs="Times"/>
          <w:color w:val="313336"/>
          <w:sz w:val="28"/>
          <w:szCs w:val="28"/>
          <w:lang w:eastAsia="fr-FR"/>
        </w:rPr>
      </w:pPr>
      <w:r w:rsidRPr="00C173D1">
        <w:rPr>
          <w:rFonts w:ascii="Times" w:eastAsia="Times New Roman" w:hAnsi="Times" w:cs="Times"/>
          <w:color w:val="313336"/>
          <w:sz w:val="27"/>
          <w:szCs w:val="27"/>
          <w:bdr w:val="none" w:sz="0" w:space="0" w:color="auto" w:frame="1"/>
          <w:lang w:eastAsia="fr-FR"/>
        </w:rPr>
        <w:t>À qui demander ?</w:t>
      </w:r>
    </w:p>
    <w:p w14:paraId="74569A1C" w14:textId="77777777" w:rsidR="00C173D1" w:rsidRPr="00C173D1" w:rsidRDefault="00C173D1" w:rsidP="00C173D1">
      <w:pPr>
        <w:shd w:val="clear" w:color="auto" w:fill="FBFAFA"/>
        <w:spacing w:after="0" w:line="240" w:lineRule="auto"/>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La personne qui se prépare à la </w:t>
      </w:r>
      <w:hyperlink r:id="rId11"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doit choisir librement une personne avec qui elle se sent en confiance, qui comprendra la portée de son engagement et qui pourra l’aider dans son cheminement, avant et après la célébration. Si les liens ont été conservés depuis le </w:t>
      </w:r>
      <w:hyperlink r:id="rId12" w:tooltip="Fait entrer le nouveau baptisé dans la communauté de l'Église." w:history="1">
        <w:r w:rsidRPr="00C173D1">
          <w:rPr>
            <w:rFonts w:ascii="Arial" w:eastAsia="Times New Roman" w:hAnsi="Arial" w:cs="Arial"/>
            <w:color w:val="3970BC"/>
            <w:sz w:val="23"/>
            <w:szCs w:val="23"/>
            <w:u w:val="single"/>
            <w:bdr w:val="none" w:sz="0" w:space="0" w:color="auto" w:frame="1"/>
            <w:lang w:eastAsia="fr-FR"/>
          </w:rPr>
          <w:t>baptême</w:t>
        </w:r>
      </w:hyperlink>
      <w:r w:rsidRPr="00C173D1">
        <w:rPr>
          <w:rFonts w:ascii="Arial" w:eastAsia="Times New Roman" w:hAnsi="Arial" w:cs="Arial"/>
          <w:color w:val="313336"/>
          <w:sz w:val="23"/>
          <w:szCs w:val="23"/>
          <w:bdr w:val="none" w:sz="0" w:space="0" w:color="auto" w:frame="1"/>
          <w:lang w:eastAsia="fr-FR"/>
        </w:rPr>
        <w:t>, le parrain ou la marraine de </w:t>
      </w:r>
      <w:hyperlink r:id="rId13" w:tooltip="Fait entrer le nouveau baptisé dans la communauté de l'Église." w:history="1">
        <w:r w:rsidRPr="00C173D1">
          <w:rPr>
            <w:rFonts w:ascii="Arial" w:eastAsia="Times New Roman" w:hAnsi="Arial" w:cs="Arial"/>
            <w:color w:val="3970BC"/>
            <w:sz w:val="23"/>
            <w:szCs w:val="23"/>
            <w:u w:val="single"/>
            <w:bdr w:val="none" w:sz="0" w:space="0" w:color="auto" w:frame="1"/>
            <w:lang w:eastAsia="fr-FR"/>
          </w:rPr>
          <w:t>baptême</w:t>
        </w:r>
      </w:hyperlink>
      <w:r w:rsidRPr="00C173D1">
        <w:rPr>
          <w:rFonts w:ascii="Arial" w:eastAsia="Times New Roman" w:hAnsi="Arial" w:cs="Arial"/>
          <w:color w:val="313336"/>
          <w:sz w:val="23"/>
          <w:szCs w:val="23"/>
          <w:bdr w:val="none" w:sz="0" w:space="0" w:color="auto" w:frame="1"/>
          <w:lang w:eastAsia="fr-FR"/>
        </w:rPr>
        <w:t> peuvent poursuivre et renouveler leur mission au jour de la </w:t>
      </w:r>
      <w:hyperlink r:id="rId14"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de leur filleul.</w:t>
      </w:r>
    </w:p>
    <w:p w14:paraId="39632BCB" w14:textId="77777777" w:rsidR="00C173D1" w:rsidRPr="00C173D1" w:rsidRDefault="00C173D1" w:rsidP="00C173D1">
      <w:pPr>
        <w:shd w:val="clear" w:color="auto" w:fill="FBFAFA"/>
        <w:spacing w:after="0" w:line="240" w:lineRule="auto"/>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L’Église demande que, sauf exceptions à voir avec l’évêque, le parrain ou la marraine :</w:t>
      </w:r>
    </w:p>
    <w:p w14:paraId="2C93DBE5" w14:textId="77777777" w:rsidR="00C173D1" w:rsidRPr="00C173D1" w:rsidRDefault="00C173D1" w:rsidP="00C173D1">
      <w:pPr>
        <w:numPr>
          <w:ilvl w:val="0"/>
          <w:numId w:val="2"/>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ait au moins 16 ans ;</w:t>
      </w:r>
    </w:p>
    <w:p w14:paraId="3F67AF2B" w14:textId="77777777" w:rsidR="00C173D1" w:rsidRPr="00C173D1" w:rsidRDefault="00C173D1" w:rsidP="00C173D1">
      <w:pPr>
        <w:numPr>
          <w:ilvl w:val="0"/>
          <w:numId w:val="2"/>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soit un catholique ayant reçu lui-même le </w:t>
      </w:r>
      <w:hyperlink r:id="rId15" w:tooltip="Signe visible de la présence et de l'action de Dieu." w:history="1">
        <w:r w:rsidRPr="00C173D1">
          <w:rPr>
            <w:rFonts w:ascii="Arial" w:eastAsia="Times New Roman" w:hAnsi="Arial" w:cs="Arial"/>
            <w:color w:val="3970BC"/>
            <w:sz w:val="23"/>
            <w:szCs w:val="23"/>
            <w:u w:val="single"/>
            <w:bdr w:val="none" w:sz="0" w:space="0" w:color="auto" w:frame="1"/>
            <w:lang w:eastAsia="fr-FR"/>
          </w:rPr>
          <w:t>sacrement</w:t>
        </w:r>
      </w:hyperlink>
      <w:r w:rsidRPr="00C173D1">
        <w:rPr>
          <w:rFonts w:ascii="Arial" w:eastAsia="Times New Roman" w:hAnsi="Arial" w:cs="Arial"/>
          <w:color w:val="313336"/>
          <w:sz w:val="23"/>
          <w:szCs w:val="23"/>
          <w:bdr w:val="none" w:sz="0" w:space="0" w:color="auto" w:frame="1"/>
          <w:lang w:eastAsia="fr-FR"/>
        </w:rPr>
        <w:t> de la </w:t>
      </w:r>
      <w:hyperlink r:id="rId16"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et puisse si possible témoigner d’une vie d’Église ;</w:t>
      </w:r>
    </w:p>
    <w:p w14:paraId="07B7C956" w14:textId="77777777" w:rsidR="00C173D1" w:rsidRPr="00C173D1" w:rsidRDefault="00C173D1" w:rsidP="00C173D1">
      <w:pPr>
        <w:numPr>
          <w:ilvl w:val="0"/>
          <w:numId w:val="2"/>
        </w:numPr>
        <w:shd w:val="clear" w:color="auto" w:fill="FBFAFA"/>
        <w:spacing w:after="0" w:line="240" w:lineRule="auto"/>
        <w:ind w:left="0"/>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ne soit ni le père ni la mère de celui qui sera confirmé.</w:t>
      </w:r>
    </w:p>
    <w:p w14:paraId="30B38B03" w14:textId="77777777" w:rsidR="00C173D1" w:rsidRPr="00C173D1" w:rsidRDefault="00C173D1" w:rsidP="00C173D1">
      <w:pPr>
        <w:shd w:val="clear" w:color="auto" w:fill="FBFAFA"/>
        <w:spacing w:after="0" w:line="240" w:lineRule="auto"/>
        <w:jc w:val="both"/>
        <w:rPr>
          <w:rFonts w:ascii="Arial" w:eastAsia="Times New Roman" w:hAnsi="Arial" w:cs="Arial"/>
          <w:color w:val="313336"/>
          <w:sz w:val="23"/>
          <w:szCs w:val="23"/>
          <w:lang w:eastAsia="fr-FR"/>
        </w:rPr>
      </w:pPr>
      <w:r w:rsidRPr="00C173D1">
        <w:rPr>
          <w:rFonts w:ascii="Arial" w:eastAsia="Times New Roman" w:hAnsi="Arial" w:cs="Arial"/>
          <w:color w:val="313336"/>
          <w:sz w:val="23"/>
          <w:szCs w:val="23"/>
          <w:bdr w:val="none" w:sz="0" w:space="0" w:color="auto" w:frame="1"/>
          <w:lang w:eastAsia="fr-FR"/>
        </w:rPr>
        <w:t>De même, il est normal de ne pas demander à quelqu’un avec qui l’on est “engagé affectivement” d’être son parrain ou sa marraine, car la relation d’un parrain à son filleul est d’un tout autre ordre. Comme le </w:t>
      </w:r>
      <w:hyperlink r:id="rId17" w:tooltip="Signe visible de la présence et de l'action de Dieu." w:history="1">
        <w:r w:rsidRPr="00C173D1">
          <w:rPr>
            <w:rFonts w:ascii="Arial" w:eastAsia="Times New Roman" w:hAnsi="Arial" w:cs="Arial"/>
            <w:color w:val="3970BC"/>
            <w:sz w:val="23"/>
            <w:szCs w:val="23"/>
            <w:u w:val="single"/>
            <w:bdr w:val="none" w:sz="0" w:space="0" w:color="auto" w:frame="1"/>
            <w:lang w:eastAsia="fr-FR"/>
          </w:rPr>
          <w:t>sacrement</w:t>
        </w:r>
      </w:hyperlink>
      <w:r w:rsidRPr="00C173D1">
        <w:rPr>
          <w:rFonts w:ascii="Arial" w:eastAsia="Times New Roman" w:hAnsi="Arial" w:cs="Arial"/>
          <w:color w:val="313336"/>
          <w:sz w:val="23"/>
          <w:szCs w:val="23"/>
          <w:bdr w:val="none" w:sz="0" w:space="0" w:color="auto" w:frame="1"/>
          <w:lang w:eastAsia="fr-FR"/>
        </w:rPr>
        <w:t> de la </w:t>
      </w:r>
      <w:hyperlink r:id="rId18" w:tooltip="Sacrement signifiant le don de l'Esprit Saint." w:history="1">
        <w:r w:rsidRPr="00C173D1">
          <w:rPr>
            <w:rFonts w:ascii="Arial" w:eastAsia="Times New Roman" w:hAnsi="Arial" w:cs="Arial"/>
            <w:color w:val="3970BC"/>
            <w:sz w:val="23"/>
            <w:szCs w:val="23"/>
            <w:u w:val="single"/>
            <w:bdr w:val="none" w:sz="0" w:space="0" w:color="auto" w:frame="1"/>
            <w:lang w:eastAsia="fr-FR"/>
          </w:rPr>
          <w:t>confirmation</w:t>
        </w:r>
      </w:hyperlink>
      <w:r w:rsidRPr="00C173D1">
        <w:rPr>
          <w:rFonts w:ascii="Arial" w:eastAsia="Times New Roman" w:hAnsi="Arial" w:cs="Arial"/>
          <w:color w:val="313336"/>
          <w:sz w:val="23"/>
          <w:szCs w:val="23"/>
          <w:bdr w:val="none" w:sz="0" w:space="0" w:color="auto" w:frame="1"/>
          <w:lang w:eastAsia="fr-FR"/>
        </w:rPr>
        <w:t> est indissociablement lié à celui du </w:t>
      </w:r>
      <w:hyperlink r:id="rId19" w:tooltip="Fait entrer le nouveau baptisé dans la communauté de l'Église." w:history="1">
        <w:r w:rsidRPr="00C173D1">
          <w:rPr>
            <w:rFonts w:ascii="Arial" w:eastAsia="Times New Roman" w:hAnsi="Arial" w:cs="Arial"/>
            <w:color w:val="3970BC"/>
            <w:sz w:val="23"/>
            <w:szCs w:val="23"/>
            <w:u w:val="single"/>
            <w:bdr w:val="none" w:sz="0" w:space="0" w:color="auto" w:frame="1"/>
            <w:lang w:eastAsia="fr-FR"/>
          </w:rPr>
          <w:t>baptême</w:t>
        </w:r>
      </w:hyperlink>
      <w:r w:rsidRPr="00C173D1">
        <w:rPr>
          <w:rFonts w:ascii="Arial" w:eastAsia="Times New Roman" w:hAnsi="Arial" w:cs="Arial"/>
          <w:color w:val="313336"/>
          <w:sz w:val="23"/>
          <w:szCs w:val="23"/>
          <w:bdr w:val="none" w:sz="0" w:space="0" w:color="auto" w:frame="1"/>
          <w:lang w:eastAsia="fr-FR"/>
        </w:rPr>
        <w:t>, il conviendrait plutôt de choisir soit le parrain soit la marraine de </w:t>
      </w:r>
      <w:hyperlink r:id="rId20" w:tooltip="Fait entrer le nouveau baptisé dans la communauté de l'Église." w:history="1">
        <w:r w:rsidRPr="00C173D1">
          <w:rPr>
            <w:rFonts w:ascii="Arial" w:eastAsia="Times New Roman" w:hAnsi="Arial" w:cs="Arial"/>
            <w:color w:val="3970BC"/>
            <w:sz w:val="23"/>
            <w:szCs w:val="23"/>
            <w:u w:val="single"/>
            <w:bdr w:val="none" w:sz="0" w:space="0" w:color="auto" w:frame="1"/>
            <w:lang w:eastAsia="fr-FR"/>
          </w:rPr>
          <w:t>baptême</w:t>
        </w:r>
      </w:hyperlink>
      <w:r w:rsidRPr="00C173D1">
        <w:rPr>
          <w:rFonts w:ascii="Arial" w:eastAsia="Times New Roman" w:hAnsi="Arial" w:cs="Arial"/>
          <w:color w:val="313336"/>
          <w:sz w:val="23"/>
          <w:szCs w:val="23"/>
          <w:bdr w:val="none" w:sz="0" w:space="0" w:color="auto" w:frame="1"/>
          <w:lang w:eastAsia="fr-FR"/>
        </w:rPr>
        <w:t>. Mais dans le cas de jeunes adultes, un autre choix peut s’avérer plus pertinent.</w:t>
      </w:r>
    </w:p>
    <w:p w14:paraId="72E8B05A" w14:textId="77777777" w:rsidR="00C173D1" w:rsidRPr="00C173D1" w:rsidRDefault="00C173D1" w:rsidP="00C173D1">
      <w:pPr>
        <w:shd w:val="clear" w:color="auto" w:fill="FBFAFA"/>
        <w:spacing w:line="240" w:lineRule="auto"/>
        <w:jc w:val="both"/>
        <w:rPr>
          <w:rFonts w:ascii="Arial" w:eastAsia="Times New Roman" w:hAnsi="Arial" w:cs="Arial"/>
          <w:color w:val="313336"/>
          <w:sz w:val="23"/>
          <w:szCs w:val="23"/>
          <w:lang w:eastAsia="fr-FR"/>
        </w:rPr>
      </w:pPr>
      <w:r w:rsidRPr="00C173D1">
        <w:rPr>
          <w:rFonts w:ascii="Arial" w:eastAsia="Times New Roman" w:hAnsi="Arial" w:cs="Arial"/>
          <w:i/>
          <w:iCs/>
          <w:color w:val="313336"/>
          <w:sz w:val="23"/>
          <w:szCs w:val="23"/>
          <w:bdr w:val="none" w:sz="0" w:space="0" w:color="auto" w:frame="1"/>
          <w:lang w:eastAsia="fr-FR"/>
        </w:rPr>
        <w:t>Le parrain ou la marraine devra normalement être présent lors de la célébration, car il y joue un rôle actif. En cas d’impossibilité, il peut toutefois se faire représenter.</w:t>
      </w:r>
    </w:p>
    <w:p w14:paraId="63C26AB9" w14:textId="77777777" w:rsidR="00F24CDB" w:rsidRDefault="00F24CDB"/>
    <w:sectPr w:rsidR="00F24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E40D8"/>
    <w:multiLevelType w:val="multilevel"/>
    <w:tmpl w:val="BC72D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31725"/>
    <w:multiLevelType w:val="multilevel"/>
    <w:tmpl w:val="31EA5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D1"/>
    <w:rsid w:val="002F627C"/>
    <w:rsid w:val="003F2409"/>
    <w:rsid w:val="0073216D"/>
    <w:rsid w:val="0083434D"/>
    <w:rsid w:val="00C173D1"/>
    <w:rsid w:val="00F24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9C5E"/>
  <w15:docId w15:val="{269216F8-7459-48FC-B496-6307A0B7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17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C173D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73D1"/>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C173D1"/>
    <w:rPr>
      <w:rFonts w:ascii="Times New Roman" w:eastAsia="Times New Roman" w:hAnsi="Times New Roman" w:cs="Times New Roman"/>
      <w:b/>
      <w:bCs/>
      <w:sz w:val="24"/>
      <w:szCs w:val="24"/>
      <w:lang w:eastAsia="fr-FR"/>
    </w:rPr>
  </w:style>
  <w:style w:type="character" w:customStyle="1" w:styleId="s1">
    <w:name w:val="s1"/>
    <w:basedOn w:val="Policepardfaut"/>
    <w:rsid w:val="00C173D1"/>
  </w:style>
  <w:style w:type="paragraph" w:customStyle="1" w:styleId="p1">
    <w:name w:val="p1"/>
    <w:basedOn w:val="Normal"/>
    <w:rsid w:val="00C173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173D1"/>
    <w:rPr>
      <w:color w:val="0000FF"/>
      <w:u w:val="single"/>
    </w:rPr>
  </w:style>
  <w:style w:type="paragraph" w:customStyle="1" w:styleId="li1">
    <w:name w:val="li1"/>
    <w:basedOn w:val="Normal"/>
    <w:rsid w:val="00C173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33070">
      <w:bodyDiv w:val="1"/>
      <w:marLeft w:val="0"/>
      <w:marRight w:val="0"/>
      <w:marTop w:val="0"/>
      <w:marBottom w:val="0"/>
      <w:divBdr>
        <w:top w:val="none" w:sz="0" w:space="0" w:color="auto"/>
        <w:left w:val="none" w:sz="0" w:space="0" w:color="auto"/>
        <w:bottom w:val="none" w:sz="0" w:space="0" w:color="auto"/>
        <w:right w:val="none" w:sz="0" w:space="0" w:color="auto"/>
      </w:divBdr>
      <w:divsChild>
        <w:div w:id="1183325942">
          <w:marLeft w:val="0"/>
          <w:marRight w:val="0"/>
          <w:marTop w:val="0"/>
          <w:marBottom w:val="300"/>
          <w:divBdr>
            <w:top w:val="none" w:sz="0" w:space="0" w:color="auto"/>
            <w:left w:val="none" w:sz="0" w:space="0" w:color="auto"/>
            <w:bottom w:val="none" w:sz="0" w:space="0" w:color="auto"/>
            <w:right w:val="none" w:sz="0" w:space="0" w:color="auto"/>
          </w:divBdr>
          <w:divsChild>
            <w:div w:id="149565545">
              <w:marLeft w:val="0"/>
              <w:marRight w:val="0"/>
              <w:marTop w:val="0"/>
              <w:marBottom w:val="0"/>
              <w:divBdr>
                <w:top w:val="none" w:sz="0" w:space="0" w:color="auto"/>
                <w:left w:val="none" w:sz="0" w:space="0" w:color="auto"/>
                <w:bottom w:val="none" w:sz="0" w:space="0" w:color="auto"/>
                <w:right w:val="none" w:sz="0" w:space="0" w:color="auto"/>
              </w:divBdr>
            </w:div>
          </w:divsChild>
        </w:div>
        <w:div w:id="1231119182">
          <w:marLeft w:val="0"/>
          <w:marRight w:val="0"/>
          <w:marTop w:val="0"/>
          <w:marBottom w:val="0"/>
          <w:divBdr>
            <w:top w:val="none" w:sz="0" w:space="0" w:color="auto"/>
            <w:left w:val="none" w:sz="0" w:space="0" w:color="auto"/>
            <w:bottom w:val="none" w:sz="0" w:space="0" w:color="auto"/>
            <w:right w:val="none" w:sz="0" w:space="0" w:color="auto"/>
          </w:divBdr>
          <w:divsChild>
            <w:div w:id="1980113030">
              <w:marLeft w:val="0"/>
              <w:marRight w:val="0"/>
              <w:marTop w:val="0"/>
              <w:marBottom w:val="300"/>
              <w:divBdr>
                <w:top w:val="none" w:sz="0" w:space="0" w:color="auto"/>
                <w:left w:val="none" w:sz="0" w:space="0" w:color="auto"/>
                <w:bottom w:val="none" w:sz="0" w:space="0" w:color="auto"/>
                <w:right w:val="none" w:sz="0" w:space="0" w:color="auto"/>
              </w:divBdr>
              <w:divsChild>
                <w:div w:id="1860393536">
                  <w:marLeft w:val="0"/>
                  <w:marRight w:val="0"/>
                  <w:marTop w:val="0"/>
                  <w:marBottom w:val="0"/>
                  <w:divBdr>
                    <w:top w:val="none" w:sz="0" w:space="0" w:color="auto"/>
                    <w:left w:val="none" w:sz="0" w:space="0" w:color="auto"/>
                    <w:bottom w:val="none" w:sz="0" w:space="0" w:color="auto"/>
                    <w:right w:val="none" w:sz="0" w:space="0" w:color="auto"/>
                  </w:divBdr>
                  <w:divsChild>
                    <w:div w:id="1788771646">
                      <w:marLeft w:val="0"/>
                      <w:marRight w:val="0"/>
                      <w:marTop w:val="0"/>
                      <w:marBottom w:val="0"/>
                      <w:divBdr>
                        <w:top w:val="none" w:sz="0" w:space="0" w:color="auto"/>
                        <w:left w:val="none" w:sz="0" w:space="0" w:color="auto"/>
                        <w:bottom w:val="none" w:sz="0" w:space="0" w:color="auto"/>
                        <w:right w:val="none" w:sz="0" w:space="0" w:color="auto"/>
                      </w:divBdr>
                      <w:divsChild>
                        <w:div w:id="800659177">
                          <w:marLeft w:val="0"/>
                          <w:marRight w:val="0"/>
                          <w:marTop w:val="0"/>
                          <w:marBottom w:val="0"/>
                          <w:divBdr>
                            <w:top w:val="none" w:sz="0" w:space="0" w:color="auto"/>
                            <w:left w:val="none" w:sz="0" w:space="0" w:color="auto"/>
                            <w:bottom w:val="none" w:sz="0" w:space="0" w:color="auto"/>
                            <w:right w:val="none" w:sz="0" w:space="0" w:color="auto"/>
                          </w:divBdr>
                          <w:divsChild>
                            <w:div w:id="1218665963">
                              <w:marLeft w:val="0"/>
                              <w:marRight w:val="0"/>
                              <w:marTop w:val="0"/>
                              <w:marBottom w:val="0"/>
                              <w:divBdr>
                                <w:top w:val="none" w:sz="0" w:space="0" w:color="auto"/>
                                <w:left w:val="none" w:sz="0" w:space="0" w:color="auto"/>
                                <w:bottom w:val="none" w:sz="0" w:space="0" w:color="auto"/>
                                <w:right w:val="none" w:sz="0" w:space="0" w:color="auto"/>
                              </w:divBdr>
                              <w:divsChild>
                                <w:div w:id="8731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confirmation" TargetMode="External"/><Relationship Id="rId13" Type="http://schemas.openxmlformats.org/officeDocument/2006/relationships/hyperlink" Target="https://eglise.catholique.fr/glossaire/bapteme" TargetMode="External"/><Relationship Id="rId18" Type="http://schemas.openxmlformats.org/officeDocument/2006/relationships/hyperlink" Target="https://eglise.catholique.fr/glossaire/confirm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glise.catholique.fr/glossaire/sacrement" TargetMode="External"/><Relationship Id="rId12" Type="http://schemas.openxmlformats.org/officeDocument/2006/relationships/hyperlink" Target="https://eglise.catholique.fr/glossaire/bapteme" TargetMode="External"/><Relationship Id="rId17" Type="http://schemas.openxmlformats.org/officeDocument/2006/relationships/hyperlink" Target="https://eglise.catholique.fr/glossaire/sacrement" TargetMode="External"/><Relationship Id="rId2" Type="http://schemas.openxmlformats.org/officeDocument/2006/relationships/styles" Target="styles.xml"/><Relationship Id="rId16" Type="http://schemas.openxmlformats.org/officeDocument/2006/relationships/hyperlink" Target="https://eglise.catholique.fr/glossaire/confirmation" TargetMode="External"/><Relationship Id="rId20" Type="http://schemas.openxmlformats.org/officeDocument/2006/relationships/hyperlink" Target="https://eglise.catholique.fr/glossaire/bapteme" TargetMode="External"/><Relationship Id="rId1" Type="http://schemas.openxmlformats.org/officeDocument/2006/relationships/numbering" Target="numbering.xml"/><Relationship Id="rId6" Type="http://schemas.openxmlformats.org/officeDocument/2006/relationships/hyperlink" Target="https://eglise.catholique.fr/glossaire/bapteme" TargetMode="External"/><Relationship Id="rId11" Type="http://schemas.openxmlformats.org/officeDocument/2006/relationships/hyperlink" Target="https://eglise.catholique.fr/glossaire/confirmation" TargetMode="External"/><Relationship Id="rId5" Type="http://schemas.openxmlformats.org/officeDocument/2006/relationships/hyperlink" Target="https://eglise.catholique.fr/glossaire/sacrement" TargetMode="External"/><Relationship Id="rId15" Type="http://schemas.openxmlformats.org/officeDocument/2006/relationships/hyperlink" Target="https://eglise.catholique.fr/glossaire/sacrement" TargetMode="External"/><Relationship Id="rId10" Type="http://schemas.openxmlformats.org/officeDocument/2006/relationships/hyperlink" Target="https://eglise.catholique.fr/glossaire/confirmation" TargetMode="External"/><Relationship Id="rId19" Type="http://schemas.openxmlformats.org/officeDocument/2006/relationships/hyperlink" Target="https://eglise.catholique.fr/glossaire/bapteme" TargetMode="External"/><Relationship Id="rId4" Type="http://schemas.openxmlformats.org/officeDocument/2006/relationships/webSettings" Target="webSettings.xml"/><Relationship Id="rId9" Type="http://schemas.openxmlformats.org/officeDocument/2006/relationships/hyperlink" Target="https://eglise.catholique.fr/glossaire/sacrement" TargetMode="External"/><Relationship Id="rId14" Type="http://schemas.openxmlformats.org/officeDocument/2006/relationships/hyperlink" Target="https://eglise.catholique.fr/glossaire/confirmation"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3429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sdic_adultes</dc:creator>
  <cp:lastModifiedBy>33783237521</cp:lastModifiedBy>
  <cp:revision>2</cp:revision>
  <dcterms:created xsi:type="dcterms:W3CDTF">2021-09-30T10:32:00Z</dcterms:created>
  <dcterms:modified xsi:type="dcterms:W3CDTF">2021-09-30T10:32:00Z</dcterms:modified>
</cp:coreProperties>
</file>